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40" w:firstLine="72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d2129"/>
          <w:sz w:val="36"/>
          <w:szCs w:val="36"/>
          <w:rtl w:val="0"/>
        </w:rPr>
        <w:t xml:space="preserve">Regulamin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TIME FOR KIDS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Każdy z uczestników zobowiązany jest do zapoznania się z regulaminem turnieju.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Organizator nie odpowiada za rzeczy wartościowe pozostawione w szatni.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Uczestnicy przyjeżdżają na koszt własny.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Opiekę nad uczestnikami musi sprawować instruktor, opiekun, rodzic lub osoba pełnoletnia.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Organizator zapewnia parkiet do tańca 4m x 4m.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Na prowadzenie reklamy, w każdej postaci, należy uzyskać zgodę organizatora.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Wszyscy uczestnicy zobowiązani są do bezwzględnego przestrzegania przepisów BHP i P.POŻ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obowiązujących na terenie zawodów.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Obowiązuje bezwzględny zakaz spożywania alkoholu.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Każdy uczestnik ma obowiązek posiadania legitymacji lub dowodu tożsamości.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Wszelkie obraźliwe i niestosowne gesty lub komentarze w trakcie trwania imprezy oraz ogłaszania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wyników są równoznaczne z dyskwalifikacją osoby.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Uczestnicy zobowiązani są do przestrzegania kolejności startowej danej kategorii tanecznej oraz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bycia przygotowanym do występu minimum 40 minut przed swoją kategorią.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Każdy z uczestników zawodów występuje na własną odpowiedzialność.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ponosi odpowiedzialności za wszelkiego rodzaju kontuzje podczas prób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występów.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 danej kategorii tanecznej tancerz nie może brać udziału kilkakrotnie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Organizator zobowiązany jest do udostępnienia programu zawodów najpóźniej 5 dni przed 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rozpoczęciem.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Uczestnik lub jego pełnoprawny opiekun odpowiada za rzeczy zniszczone na terenie zawodów,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 razie szkód – pokrywa on koszty naprawy.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do zmian w regulaminie.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Wysłanie zgłoszenia jest równoznaczne z akceptacją regulaminu.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Wysłanie zgłoszenia ( dokonuje instruktor, opiekun, rodzic lub osoba pełnoletnia ) jest równoznaczne z akceptacją regulaminu, informacji o przetwarzaniu danych osobowych oraz zgody wizerunkowej.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</w:rPr>
      </w:pPr>
      <w:bookmarkStart w:colFirst="0" w:colLast="0" w:name="_8tn9p51yksux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W przypadku rezygnacji uczestnika opłata startowa nie podlega zwrotowi.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1069103" cy="1202270"/>
          <wp:effectExtent b="0" l="0" r="0" t="0"/>
          <wp:docPr descr="TFK - black.png" id="1" name="image2.png"/>
          <a:graphic>
            <a:graphicData uri="http://schemas.openxmlformats.org/drawingml/2006/picture">
              <pic:pic>
                <pic:nvPicPr>
                  <pic:cNvPr descr="TFK - black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103" cy="1202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051560" cy="112458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1560" cy="1124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